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sz w:val="46"/>
        </w:rPr>
        <w:t>AI Employment Navigator</w:t>
      </w:r>
    </w:p>
    <w:p>
      <w:pPr>
        <w:jc w:val="center"/>
      </w:pPr>
      <w:r>
        <w:rPr>
          <w:i/>
          <w:sz w:val="26"/>
        </w:rPr>
        <w:t>Funding Strategy &amp; Existing-Funds Alignment</w:t>
      </w:r>
    </w:p>
    <w:p>
      <w:pPr>
        <w:jc w:val="center"/>
      </w:pPr>
      <w:r>
        <w:rPr>
          <w:b/>
          <w:sz w:val="20"/>
        </w:rPr>
        <w:t>Additional Proposal Component | Developed by Ryan Uher</w:t>
      </w:r>
    </w:p>
    <w:p>
      <w:pPr>
        <w:pStyle w:val="Heading1"/>
      </w:pPr>
      <w:r>
        <w:t>Funding Position</w:t>
      </w:r>
    </w:p>
    <w:p>
      <w:r>
        <w:t>The strongest initial funding case is not to treat AI Employment Navigator as a new software purchase. It should first be evaluated as a service-modernization pilot that uses existing American Job Center infrastructure, staff expertise, public employment sources, NEworks and organization-approved AI tools to improve job-search assistance and AI literacy.</w:t>
      </w:r>
    </w:p>
    <w:p>
      <w:pPr>
        <w:ind w:left="317" w:right="317"/>
      </w:pPr>
      <w:r>
        <w:rPr>
          <w:b/>
        </w:rPr>
        <w:t>Start by funding the service model we can test now. Invest in larger technology only after local results justify it.</w:t>
      </w:r>
    </w:p>
    <w:p>
      <w:pPr>
        <w:pStyle w:val="Heading1"/>
      </w:pPr>
      <w:r>
        <w:t>Why Existing Resources May Be Relevant</w:t>
      </w:r>
    </w:p>
    <w:p>
      <w:r>
        <w:t>AJC Lincoln already operates universal job-search services and a Resource Room. Its current Visitor Services page states that people can walk in without an appointment or eligibility requirement and use computers for job search, receive help navigating online applications and obtain digital-literacy referrals. AJC also describes one-on-one job-search support as available to job seekers without an eligibility determination, while more intensive career-seeker services require program enrollment.</w:t>
      </w:r>
    </w:p>
    <w:p>
      <w:r>
        <w:t>This makes the Navigator easier to frame as an enhancement to existing service delivery rather than a separate mission. The proposal would add a standardized AI-assisted workflow to functions the center already performs: job discovery, job-search support, career exploration, digital literacy, labor-market navigation and referral to deeper services when appropriate.</w:t>
      </w:r>
    </w:p>
    <w:p>
      <w:pPr>
        <w:pStyle w:val="Heading1"/>
      </w:pPr>
      <w:r>
        <w:t>Federal Direction Strengthens the Case</w:t>
      </w:r>
    </w:p>
    <w:p>
      <w:r>
        <w:t>On February 13, 2026, the U.S. Department of Labor issued Training and Employment Notice 07-25, the Artificial Intelligence Literacy Framework. The notice is explicitly addressed to American Job Centers, workforce boards, state workforce agencies and ETA grantees and encourages expanded AI literacy across the public workforce and education systems. The accompanying framework states that state and local agencies can use it to integrate AI literacy into WIOA services and other programs while adapting to regional labor-market needs.</w:t>
      </w:r>
    </w:p>
    <w:p>
      <w:pPr>
        <w:ind w:left="317" w:right="317"/>
      </w:pPr>
      <w:r>
        <w:rPr>
          <w:b/>
        </w:rPr>
        <w:t>AI Employment Navigator can be presented as a practical local implementation of current federal AI-literacy direction—not AI experimentation for its own sake.</w:t>
      </w:r>
    </w:p>
    <w:p>
      <w:pPr>
        <w:pStyle w:val="Heading1"/>
      </w:pPr>
      <w:r>
        <w:t>Potential Funding Alignment to Review</w:t>
      </w:r>
    </w:p>
    <w:p>
      <w:r>
        <w:t>The categories below are funding-alignment questions for fiscal, program, NDOL and compliance leadership. They are not determinations that a specific cost is allowable.</w:t>
      </w:r>
    </w:p>
    <w:tbl>
      <w:tblPr>
        <w:tblStyle w:val="TableGrid"/>
        <w:tblW w:type="auto" w:w="0"/>
        <w:jc w:val="center"/>
        <w:tblLook w:firstColumn="1" w:firstRow="1" w:lastColumn="0" w:lastRow="0" w:noHBand="0" w:noVBand="1" w:val="04A0"/>
      </w:tblPr>
      <w:tblGrid>
        <w:gridCol w:w="3427"/>
        <w:gridCol w:w="3427"/>
        <w:gridCol w:w="3427"/>
      </w:tblGrid>
      <w:tr>
        <w:tc>
          <w:tcPr>
            <w:tcW w:type="dxa" w:w="3427"/>
          </w:tcPr>
          <w:p>
            <w:r>
              <w:t>Potential source / structure</w:t>
            </w:r>
          </w:p>
        </w:tc>
        <w:tc>
          <w:tcPr>
            <w:tcW w:type="dxa" w:w="3427"/>
          </w:tcPr>
          <w:p>
            <w:r>
              <w:t>Possible Navigator alignment</w:t>
            </w:r>
          </w:p>
        </w:tc>
        <w:tc>
          <w:tcPr>
            <w:tcW w:type="dxa" w:w="3427"/>
          </w:tcPr>
          <w:p>
            <w:r>
              <w:t>Review needed</w:t>
            </w:r>
          </w:p>
        </w:tc>
      </w:tr>
      <w:tr>
        <w:tc>
          <w:tcPr>
            <w:tcW w:type="dxa" w:w="3427"/>
            <w:vAlign w:val="top"/>
          </w:tcPr>
          <w:p>
            <w:r>
              <w:t>WIOA Title I</w:t>
            </w:r>
          </w:p>
        </w:tc>
        <w:tc>
          <w:tcPr>
            <w:tcW w:type="dxa" w:w="3427"/>
            <w:vAlign w:val="top"/>
          </w:tcPr>
          <w:p>
            <w:r>
              <w:t>Program-participant career services, AI-literacy/workforce-preparation activities, staff-supported job search and approved implementation costs that meet grant rules.</w:t>
            </w:r>
          </w:p>
        </w:tc>
        <w:tc>
          <w:tcPr>
            <w:tcW w:type="dxa" w:w="3427"/>
            <w:vAlign w:val="top"/>
          </w:tcPr>
          <w:p>
            <w:r>
              <w:t>Allowability, cost allocation, participant/service documentation and local/state policy.</w:t>
            </w:r>
          </w:p>
        </w:tc>
      </w:tr>
      <w:tr>
        <w:tc>
          <w:tcPr>
            <w:tcW w:type="dxa" w:w="3427"/>
            <w:vAlign w:val="top"/>
          </w:tcPr>
          <w:p>
            <w:r>
              <w:t>Wagner-Peyser / Employment Service</w:t>
            </w:r>
          </w:p>
        </w:tc>
        <w:tc>
          <w:tcPr>
            <w:tcW w:type="dxa" w:w="3427"/>
            <w:vAlign w:val="top"/>
          </w:tcPr>
          <w:p>
            <w:r>
              <w:t>Universal labor-exchange and job-search assistance where the activity fits Employment Service responsibilities.</w:t>
            </w:r>
          </w:p>
        </w:tc>
        <w:tc>
          <w:tcPr>
            <w:tcW w:type="dxa" w:w="3427"/>
            <w:vAlign w:val="top"/>
          </w:tcPr>
          <w:p>
            <w:r>
              <w:t>NDOL role, staffing rules, agreement/MOU responsibilities and cost allocation.</w:t>
            </w:r>
          </w:p>
        </w:tc>
      </w:tr>
      <w:tr>
        <w:tc>
          <w:tcPr>
            <w:tcW w:type="dxa" w:w="3427"/>
            <w:vAlign w:val="top"/>
          </w:tcPr>
          <w:p>
            <w:r>
              <w:t>One-Stop / Resource Room operations</w:t>
            </w:r>
          </w:p>
        </w:tc>
        <w:tc>
          <w:tcPr>
            <w:tcW w:type="dxa" w:w="3427"/>
            <w:vAlign w:val="top"/>
          </w:tcPr>
          <w:p>
            <w:r>
              <w:t>Universal-access setup, technology-enabled job-search assistance and resource-room delivery.</w:t>
            </w:r>
          </w:p>
        </w:tc>
        <w:tc>
          <w:tcPr>
            <w:tcW w:type="dxa" w:w="3427"/>
            <w:vAlign w:val="top"/>
          </w:tcPr>
          <w:p>
            <w:r>
              <w:t>One-Stop partner agreements, infrastructure/shared costs and local operating procedures.</w:t>
            </w:r>
          </w:p>
        </w:tc>
      </w:tr>
      <w:tr>
        <w:tc>
          <w:tcPr>
            <w:tcW w:type="dxa" w:w="3427"/>
            <w:vAlign w:val="top"/>
          </w:tcPr>
          <w:p>
            <w:r>
              <w:t>City / local funds</w:t>
            </w:r>
          </w:p>
        </w:tc>
        <w:tc>
          <w:tcPr>
            <w:tcW w:type="dxa" w:w="3427"/>
            <w:vAlign w:val="top"/>
          </w:tcPr>
          <w:p>
            <w:r>
              <w:t>Pilot gaps, innovation costs or expenses that do not fit cleanly within a federal funding stream.</w:t>
            </w:r>
          </w:p>
        </w:tc>
        <w:tc>
          <w:tcPr>
            <w:tcW w:type="dxa" w:w="3427"/>
            <w:vAlign w:val="top"/>
          </w:tcPr>
          <w:p>
            <w:r>
              <w:t>Budget authority, procurement and City approval.</w:t>
            </w:r>
          </w:p>
        </w:tc>
      </w:tr>
      <w:tr>
        <w:tc>
          <w:tcPr>
            <w:tcW w:type="dxa" w:w="3427"/>
            <w:vAlign w:val="top"/>
          </w:tcPr>
          <w:p>
            <w:r>
              <w:t>Program-specific funds</w:t>
            </w:r>
          </w:p>
        </w:tc>
        <w:tc>
          <w:tcPr>
            <w:tcW w:type="dxa" w:w="3427"/>
            <w:vAlign w:val="top"/>
          </w:tcPr>
          <w:p>
            <w:r>
              <w:t>Enhanced Navigator use for eligible participants when it supports the specific program purpose.</w:t>
            </w:r>
          </w:p>
        </w:tc>
        <w:tc>
          <w:tcPr>
            <w:tcW w:type="dxa" w:w="3427"/>
            <w:vAlign w:val="top"/>
          </w:tcPr>
          <w:p>
            <w:r>
              <w:t>Program rules, eligibility, documentation and reasonable/necessary cost standards.</w:t>
            </w:r>
          </w:p>
        </w:tc>
      </w:tr>
      <w:tr>
        <w:tc>
          <w:tcPr>
            <w:tcW w:type="dxa" w:w="3427"/>
            <w:vAlign w:val="top"/>
          </w:tcPr>
          <w:p>
            <w:r>
              <w:t>Partner resources</w:t>
            </w:r>
          </w:p>
        </w:tc>
        <w:tc>
          <w:tcPr>
            <w:tcW w:type="dxa" w:w="3427"/>
            <w:vAlign w:val="top"/>
          </w:tcPr>
          <w:p>
            <w:r>
              <w:t>AI-literacy instruction, digital skills, technology access, workshops or complementary services.</w:t>
            </w:r>
          </w:p>
        </w:tc>
        <w:tc>
          <w:tcPr>
            <w:tcW w:type="dxa" w:w="3427"/>
            <w:vAlign w:val="top"/>
          </w:tcPr>
          <w:p>
            <w:r>
              <w:t>Partner capacity, MOU/referral structure and data/privacy boundaries.</w:t>
            </w:r>
          </w:p>
        </w:tc>
      </w:tr>
      <w:tr>
        <w:tc>
          <w:tcPr>
            <w:tcW w:type="dxa" w:w="3427"/>
            <w:vAlign w:val="top"/>
          </w:tcPr>
          <w:p>
            <w:r>
              <w:t>Future grants / innovation funds</w:t>
            </w:r>
          </w:p>
        </w:tc>
        <w:tc>
          <w:tcPr>
            <w:tcW w:type="dxa" w:w="3427"/>
            <w:vAlign w:val="top"/>
          </w:tcPr>
          <w:p>
            <w:r>
              <w:t>Scaling, evaluation, technology, curriculum, integrations or custom development after the model is proven.</w:t>
            </w:r>
          </w:p>
        </w:tc>
        <w:tc>
          <w:tcPr>
            <w:tcW w:type="dxa" w:w="3427"/>
            <w:vAlign w:val="top"/>
          </w:tcPr>
          <w:p>
            <w:r>
              <w:t>Funding opportunity requirements, sustainability and non-duplication of costs.</w:t>
            </w:r>
          </w:p>
        </w:tc>
      </w:tr>
    </w:tbl>
    <w:p>
      <w:pPr>
        <w:pStyle w:val="Heading1"/>
      </w:pPr>
      <w:r>
        <w:t>A Four-Phase Funding Strategy</w:t>
      </w:r>
    </w:p>
    <w:p>
      <w:pPr>
        <w:pStyle w:val="Heading2"/>
      </w:pPr>
      <w:r>
        <w:t>Phase 1 - Minimal-Cost Pilot</w:t>
      </w:r>
    </w:p>
    <w:p>
      <w:pPr>
        <w:pStyle w:val="ListBullet"/>
      </w:pPr>
      <w:r>
        <w:t>Use existing computers and Resource Room access.</w:t>
      </w:r>
    </w:p>
    <w:p>
      <w:pPr>
        <w:pStyle w:val="ListBullet"/>
      </w:pPr>
      <w:r>
        <w:t>Use existing staff capacity within an approved pilot scope.</w:t>
      </w:r>
    </w:p>
    <w:p>
      <w:pPr>
        <w:pStyle w:val="ListBullet"/>
      </w:pPr>
      <w:r>
        <w:t>Use NEworks and publicly accessible employment sources.</w:t>
      </w:r>
    </w:p>
    <w:p>
      <w:pPr>
        <w:pStyle w:val="ListBullet"/>
      </w:pPr>
      <w:r>
        <w:t>Use organization-approved general-purpose AI tools rather than purchasing custom software.</w:t>
      </w:r>
    </w:p>
    <w:p>
      <w:pPr>
        <w:pStyle w:val="ListBullet"/>
      </w:pPr>
      <w:r>
        <w:t>Track staff time and any direct pilot costs from day one.</w:t>
      </w:r>
    </w:p>
    <w:p>
      <w:pPr>
        <w:pStyle w:val="Heading2"/>
      </w:pPr>
      <w:r>
        <w:t>Phase 2 - Align Allowable Costs</w:t>
      </w:r>
    </w:p>
    <w:p>
      <w:r>
        <w:t>If the pilot shows value, convene program, fiscal, One-Stop, NDOL and compliance leadership to map each recurring cost to the appropriate funding source or shared-cost structure. The objective is not to force the entire project into one grant; it is to allocate costs to the programs and functions that benefit, when allowable.</w:t>
      </w:r>
    </w:p>
    <w:p>
      <w:pPr>
        <w:pStyle w:val="Heading2"/>
      </w:pPr>
      <w:r>
        <w:t>Phase 3 - Expansion Funding</w:t>
      </w:r>
    </w:p>
    <w:p>
      <w:r>
        <w:t>Use local evidence to pursue appropriate workforce-innovation, AI-literacy, technology, evaluation, philanthropic or other grant opportunities. Local outcome data should make future applications stronger than seeking technology money before the service model is proven.</w:t>
      </w:r>
    </w:p>
    <w:p>
      <w:pPr>
        <w:pStyle w:val="Heading2"/>
      </w:pPr>
      <w:r>
        <w:t>Phase 4 - Institutionalize</w:t>
      </w:r>
    </w:p>
    <w:p>
      <w:r>
        <w:t>If leadership decides the Navigator should become a continuing service, establish a defined operating budget, staff ownership, training requirements, privacy/governance standards, performance measures and a sustainable cost-allocation plan.</w:t>
      </w:r>
    </w:p>
    <w:p>
      <w:pPr>
        <w:pStyle w:val="Heading1"/>
      </w:pPr>
      <w:r>
        <w:t>Build the Business Case With Local Data</w:t>
      </w:r>
    </w:p>
    <w:p>
      <w:r>
        <w:t>AJC Lincoln already communicates workforce investment in return-on-investment terms. Its current Economic Impact page reports an estimated $1.82 in total local economic impact for each $1.00 in local program expenditures for Program Year 2024. The Navigator should use the same results-oriented mindset without assuming that the same multiplier automatically applies to this project.</w:t>
      </w:r>
    </w:p>
    <w:p>
      <w:pPr>
        <w:pStyle w:val="ListBullet"/>
      </w:pPr>
      <w:r>
        <w:t>Cost per job seeker served</w:t>
      </w:r>
    </w:p>
    <w:p>
      <w:pPr>
        <w:pStyle w:val="ListBullet"/>
      </w:pPr>
      <w:r>
        <w:t>Staff minutes required per Navigator setup</w:t>
      </w:r>
    </w:p>
    <w:p>
      <w:pPr>
        <w:pStyle w:val="ListBullet"/>
      </w:pPr>
      <w:r>
        <w:t>Staff time saved or redirected from repetitive searching</w:t>
      </w:r>
    </w:p>
    <w:p>
      <w:pPr>
        <w:pStyle w:val="ListBullet"/>
      </w:pPr>
      <w:r>
        <w:t>Number and percentage of leads judged worth pursuing</w:t>
      </w:r>
    </w:p>
    <w:p>
      <w:pPr>
        <w:pStyle w:val="ListBullet"/>
      </w:pPr>
      <w:r>
        <w:t>Applications generated from Navigator leads</w:t>
      </w:r>
    </w:p>
    <w:p>
      <w:pPr>
        <w:pStyle w:val="ListBullet"/>
      </w:pPr>
      <w:r>
        <w:t>Application-to-interview conversion</w:t>
      </w:r>
    </w:p>
    <w:p>
      <w:pPr>
        <w:pStyle w:val="ListBullet"/>
      </w:pPr>
      <w:r>
        <w:t>Offers and placements</w:t>
      </w:r>
    </w:p>
    <w:p>
      <w:pPr>
        <w:pStyle w:val="ListBullet"/>
      </w:pPr>
      <w:r>
        <w:t>Program referrals generated after a need is identified</w:t>
      </w:r>
    </w:p>
    <w:p>
      <w:pPr>
        <w:pStyle w:val="ListBullet"/>
      </w:pPr>
      <w:r>
        <w:t>Client continuation/independent-use rate</w:t>
      </w:r>
    </w:p>
    <w:p>
      <w:pPr>
        <w:pStyle w:val="ListBullet"/>
      </w:pPr>
      <w:r>
        <w:t>AI error, outdated-posting and poor-match rate</w:t>
      </w:r>
    </w:p>
    <w:p>
      <w:pPr>
        <w:pStyle w:val="Heading1"/>
      </w:pPr>
      <w:r>
        <w:t>Example Pilot Cost Logic</w:t>
      </w:r>
    </w:p>
    <w:p>
      <w:r>
        <w:t>The first financial question should be: “What does it cost to test this responsibly using what we already have?” not “What would it cost to build a new platform?”</w:t>
      </w:r>
    </w:p>
    <w:p>
      <w:pPr>
        <w:pStyle w:val="ListNumber"/>
      </w:pPr>
      <w:r>
        <w:t>Document staff time used for setup, review, training and measurement.</w:t>
      </w:r>
    </w:p>
    <w:p>
      <w:pPr>
        <w:pStyle w:val="ListNumber"/>
      </w:pPr>
      <w:r>
        <w:t>Document any paid AI licenses or other direct expenses actually required for the pilot.</w:t>
      </w:r>
    </w:p>
    <w:p>
      <w:pPr>
        <w:pStyle w:val="ListNumber"/>
      </w:pPr>
      <w:r>
        <w:t>Divide pilot cost by the number of job seekers successfully served.</w:t>
      </w:r>
    </w:p>
    <w:p>
      <w:pPr>
        <w:pStyle w:val="ListNumber"/>
      </w:pPr>
      <w:r>
        <w:t>Compare that cost with lead quality, applications, interviews, placements, program referrals and staff time redirected to higher-value work.</w:t>
      </w:r>
    </w:p>
    <w:p>
      <w:pPr>
        <w:pStyle w:val="ListNumber"/>
      </w:pPr>
      <w:r>
        <w:t>Use the evidence to decide whether to stop, refine, expand with existing funds or pursue new funding.</w:t>
      </w:r>
    </w:p>
    <w:p>
      <w:pPr>
        <w:pStyle w:val="Heading1"/>
      </w:pPr>
      <w:r>
        <w:t>Why AJC Lincoln Is Positioned to Test This</w:t>
      </w:r>
    </w:p>
    <w:p>
      <w:pPr>
        <w:pStyle w:val="ListBullet"/>
      </w:pPr>
      <w:r>
        <w:t>AJC already maintains a Resource Room and universal job-search support.</w:t>
      </w:r>
    </w:p>
    <w:p>
      <w:pPr>
        <w:pStyle w:val="ListBullet"/>
      </w:pPr>
      <w:r>
        <w:t>The City of Lincoln is the WIOA Title I-B grantee and provides administrative, fiscal and front-line support to the center.</w:t>
      </w:r>
    </w:p>
    <w:p>
      <w:pPr>
        <w:pStyle w:val="ListBullet"/>
      </w:pPr>
      <w:r>
        <w:t>AJC reports a mixed funding structure: federal WIOA support plus other funding sources.</w:t>
      </w:r>
    </w:p>
    <w:p>
      <w:pPr>
        <w:pStyle w:val="ListBullet"/>
      </w:pPr>
      <w:r>
        <w:t>The Workforce Board currently administers multiple contracts and initiatives beyond core WIOA service-provider agreements, demonstrating experience managing different workforce funding streams.</w:t>
      </w:r>
    </w:p>
    <w:p>
      <w:pPr>
        <w:pStyle w:val="ListBullet"/>
      </w:pPr>
      <w:r>
        <w:t>DOL has now issued AI-literacy guidance specifically to the public workforce system.</w:t>
      </w:r>
    </w:p>
    <w:p>
      <w:pPr>
        <w:pStyle w:val="Heading1"/>
      </w:pPr>
      <w:r>
        <w:t>Recommended Leadership Decision</w:t>
      </w:r>
    </w:p>
    <w:p>
      <w:pPr>
        <w:ind w:left="317" w:right="317"/>
      </w:pPr>
      <w:r>
        <w:rPr>
          <w:b/>
        </w:rPr>
        <w:t>Authorize a small, controlled pilot first; direct fiscal/program leadership to review allowable cost alignment; and use measured local outcomes to determine whether additional investment is justified.</w:t>
      </w:r>
    </w:p>
    <w:p>
      <w:r>
        <w:t>This approach keeps the initial financial risk low, avoids prematurely committing to custom technology and gives leadership evidence before making a larger funding decision.</w:t>
      </w:r>
    </w:p>
    <w:p>
      <w:pPr>
        <w:pStyle w:val="Heading1"/>
      </w:pPr>
      <w:r>
        <w:t>Important Compliance Boundary</w:t>
      </w:r>
    </w:p>
    <w:p>
      <w:r>
        <w:t>Nothing in this proposal should be interpreted as a final grant-allowability determination. Federal, state, City, One-Stop, procurement, privacy, information-security and program-specific requirements must be reviewed before costs are charged or technology is adopted. Costs should be reasonable, necessary, allocable to the benefiting program/function and documented under the applicable rules and agreements.</w:t>
      </w:r>
    </w:p>
    <w:p>
      <w:pPr>
        <w:pStyle w:val="Heading1"/>
      </w:pPr>
      <w:r>
        <w:t>Reference Points for Leadership Review</w:t>
      </w:r>
    </w:p>
    <w:p>
      <w:pPr>
        <w:pStyle w:val="ListBullet"/>
      </w:pPr>
      <w:r>
        <w:rPr>
          <w:b/>
        </w:rPr>
        <w:t xml:space="preserve">American Job Center Lincoln - Visitor Services / Resource Room: </w:t>
      </w:r>
      <w:r>
        <w:t>https://ajc.lincoln.ne.gov/supportive-services/career-services/resource-room/</w:t>
      </w:r>
    </w:p>
    <w:p>
      <w:pPr>
        <w:pStyle w:val="ListBullet"/>
      </w:pPr>
      <w:r>
        <w:rPr>
          <w:b/>
        </w:rPr>
        <w:t xml:space="preserve">American Job Center Lincoln - Job Seeker Services: </w:t>
      </w:r>
      <w:r>
        <w:t>https://ajc.lincoln.ne.gov/jobseeker/</w:t>
      </w:r>
    </w:p>
    <w:p>
      <w:pPr>
        <w:pStyle w:val="ListBullet"/>
      </w:pPr>
      <w:r>
        <w:rPr>
          <w:b/>
        </w:rPr>
        <w:t xml:space="preserve">American Job Center Lincoln - Career Seeker Services: </w:t>
      </w:r>
      <w:r>
        <w:t>https://ajc.lincoln.ne.gov/supportive-services/training-services/</w:t>
      </w:r>
    </w:p>
    <w:p>
      <w:pPr>
        <w:pStyle w:val="ListBullet"/>
      </w:pPr>
      <w:r>
        <w:rPr>
          <w:b/>
        </w:rPr>
        <w:t xml:space="preserve">American Job Center Lincoln - Frequently Asked Questions: </w:t>
      </w:r>
      <w:r>
        <w:t>https://ajc.lincoln.ne.gov/about-us/frequently-asked-questions/</w:t>
      </w:r>
    </w:p>
    <w:p>
      <w:pPr>
        <w:pStyle w:val="ListBullet"/>
      </w:pPr>
      <w:r>
        <w:rPr>
          <w:b/>
        </w:rPr>
        <w:t xml:space="preserve">American Job Center Lincoln - Economic Impact: </w:t>
      </w:r>
      <w:r>
        <w:t>https://ajc.lincoln.ne.gov/about-us/economic-impact/</w:t>
      </w:r>
    </w:p>
    <w:p>
      <w:pPr>
        <w:pStyle w:val="ListBullet"/>
      </w:pPr>
      <w:r>
        <w:rPr>
          <w:b/>
        </w:rPr>
        <w:t xml:space="preserve">American Job Center Lincoln - Current Contracts: </w:t>
      </w:r>
      <w:r>
        <w:t>https://ajc.lincoln.ne.gov/workforce-board/contracts-2/</w:t>
      </w:r>
    </w:p>
    <w:p>
      <w:pPr>
        <w:pStyle w:val="ListBullet"/>
      </w:pPr>
      <w:r>
        <w:rPr>
          <w:b/>
        </w:rPr>
        <w:t xml:space="preserve">U.S. Department of Labor - TEN 07-25, AI Literacy Framework: </w:t>
      </w:r>
      <w:r>
        <w:t>https://www.dol.gov/agencies/eta/advisories/ten-07-25</w:t>
      </w:r>
    </w:p>
    <w:sectPr w:rsidR="00FC693F" w:rsidRPr="0006063C" w:rsidSect="00034616">
      <w:footerReference w:type="default" r:id="rId9"/>
      <w:pgSz w:w="12240" w:h="15840"/>
      <w:pgMar w:top="835" w:right="979" w:bottom="835"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AI Employment Navigator | Funding Strategy | Developed by Ryan Uher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